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widowControl/>
        <w:spacing w:lineRule="auto" w:line="360"/>
        <w:ind w:left="0" w:right="0" w:firstLine="5245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tbl>
      <w:tblPr>
        <w:jc w:val="righ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2"/>
      </w:tblGrid>
      <w:tr>
        <w:trPr>
          <w:trHeight w:val="145" w:hRule="atLeast"/>
          <w:cantSplit w:val="true"/>
        </w:trPr>
        <w:tc>
          <w:tcPr>
            <w:tcW w:w="5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hanging="46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Срок дознания</w:t>
            </w:r>
          </w:p>
        </w:tc>
      </w:tr>
    </w:tbl>
    <w:p>
      <w:pPr>
        <w:pStyle w:val="ConsNonformat1"/>
        <w:widowControl/>
        <w:jc w:val="right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5245"/>
      </w:tblGrid>
      <w:tr>
        <w:trPr>
          <w:cantSplit w:val="true"/>
        </w:trPr>
        <w:tc>
          <w:tcPr>
            <w:tcW w:w="52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 xml:space="preserve">                              </w:t>
            </w:r>
            <w:r>
              <w:rPr>
                <w:rFonts w:cs="Times New Roman" w:ascii="Times New Roman" w:hAnsi="Times New Roman"/>
                <w:sz w:val="24"/>
              </w:rPr>
              <w:t xml:space="preserve">ПРОДЛЕВАЮ </w:t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righ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3618"/>
        <w:gridCol w:w="1025"/>
      </w:tblGrid>
      <w:tr>
        <w:trPr>
          <w:cantSplit w:val="false"/>
        </w:trPr>
        <w:tc>
          <w:tcPr>
            <w:tcW w:w="6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459" w:right="0" w:hanging="459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</w:rPr>
              <w:t>суток,</w:t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righ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5297"/>
      </w:tblGrid>
      <w:tr>
        <w:trPr>
          <w:cantSplit w:val="true"/>
        </w:trPr>
        <w:tc>
          <w:tcPr>
            <w:tcW w:w="52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т.е.  до   «____ »_________________ 20___г</w:t>
            </w:r>
            <w:r>
              <w:rPr>
                <w:rStyle w:val="FootnoteCharacters"/>
                <w:rStyle w:val="FootnoteAnchor"/>
                <w:rFonts w:cs="Times New Roman" w:ascii="Times New Roman" w:hAnsi="Times New Roman"/>
                <w:sz w:val="24"/>
              </w:rPr>
              <w:footnoteReference w:id="2"/>
            </w:r>
            <w:r>
              <w:rPr>
                <w:rFonts w:cs="Times New Roman" w:ascii="Times New Roman" w:hAnsi="Times New Roman"/>
                <w:sz w:val="24"/>
              </w:rPr>
              <w:t>.</w:t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righ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80"/>
        <w:gridCol w:w="1843"/>
        <w:gridCol w:w="992"/>
        <w:gridCol w:w="1239"/>
        <w:gridCol w:w="741"/>
      </w:tblGrid>
      <w:tr>
        <w:trPr>
          <w:cantSplit w:val="true"/>
        </w:trPr>
        <w:tc>
          <w:tcPr>
            <w:tcW w:w="4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на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месяц__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суток,</w:t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righ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5300"/>
      </w:tblGrid>
      <w:tr>
        <w:trPr>
          <w:cantSplit w:val="true"/>
        </w:trPr>
        <w:tc>
          <w:tcPr>
            <w:tcW w:w="53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т.е. до   «____» __________________ 20___ г</w:t>
            </w:r>
            <w:r>
              <w:rPr>
                <w:rStyle w:val="FootnoteCharacters"/>
                <w:rStyle w:val="FootnoteAnchor"/>
                <w:rFonts w:cs="Times New Roman" w:ascii="Times New Roman" w:hAnsi="Times New Roman"/>
                <w:sz w:val="24"/>
              </w:rPr>
              <w:footnoteReference w:id="3"/>
            </w:r>
            <w:r>
              <w:rPr>
                <w:rFonts w:cs="Times New Roman" w:ascii="Times New Roman" w:hAnsi="Times New Roman"/>
                <w:sz w:val="24"/>
              </w:rPr>
              <w:t xml:space="preserve">.                               </w:t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9"/>
      </w:tblGrid>
      <w:tr>
        <w:trPr>
          <w:cantSplit w:val="false"/>
        </w:trPr>
        <w:tc>
          <w:tcPr>
            <w:tcW w:w="519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прокурора,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9"/>
      </w:tblGrid>
      <w:tr>
        <w:trPr>
          <w:cantSplit w:val="false"/>
        </w:trPr>
        <w:tc>
          <w:tcPr>
            <w:tcW w:w="519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18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9"/>
      </w:tblGrid>
      <w:tr>
        <w:trPr>
          <w:cantSplit w:val="false"/>
        </w:trPr>
        <w:tc>
          <w:tcPr>
            <w:tcW w:w="519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  <w:szCs w:val="18"/>
        </w:rPr>
        <w:t>фамилия, инициалы</w:t>
      </w:r>
      <w:r>
        <w:rPr>
          <w:rFonts w:cs="Times New Roman" w:ascii="Times New Roman" w:hAnsi="Times New Roman"/>
          <w:sz w:val="18"/>
        </w:rPr>
        <w:t xml:space="preserve">)                           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9"/>
      </w:tblGrid>
      <w:tr>
        <w:trPr>
          <w:cantSplit w:val="false"/>
        </w:trPr>
        <w:tc>
          <w:tcPr>
            <w:tcW w:w="519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ConsNonformat1"/>
        <w:widowControl/>
        <w:spacing w:lineRule="auto" w:line="36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5"/>
      </w:tblGrid>
      <w:tr>
        <w:trPr>
          <w:cantSplit w:val="true"/>
        </w:trPr>
        <w:tc>
          <w:tcPr>
            <w:tcW w:w="315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Style w:val="FootnoteCharacters"/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sz w:val="18"/>
        </w:rPr>
        <w:t xml:space="preserve">            </w:t>
      </w:r>
      <w:r>
        <w:rPr>
          <w:rFonts w:cs="Times New Roman" w:ascii="Times New Roman" w:hAnsi="Times New Roman"/>
          <w:sz w:val="18"/>
        </w:rPr>
        <w:t>(подпись)</w:t>
      </w:r>
      <w:r>
        <w:rPr>
          <w:rStyle w:val="FootnoteCharacters"/>
          <w:rFonts w:cs="Times New Roman" w:ascii="Times New Roman" w:hAnsi="Times New Roman"/>
          <w:b/>
        </w:rPr>
        <w:t xml:space="preserve"> </w:t>
      </w:r>
    </w:p>
    <w:p>
      <w:pPr>
        <w:pStyle w:val="ConsNonformat1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6646"/>
        <w:gridCol w:w="16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6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 возбуждении ходатайства о продлении срока дознания</w:t>
      </w:r>
    </w:p>
    <w:p>
      <w:pPr>
        <w:pStyle w:val="ConsNonformat1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2636"/>
        <w:gridCol w:w="4174"/>
        <w:gridCol w:w="430"/>
        <w:gridCol w:w="318"/>
        <w:gridCol w:w="1482"/>
        <w:gridCol w:w="373"/>
        <w:gridCol w:w="324"/>
        <w:gridCol w:w="416"/>
      </w:tblGrid>
      <w:tr>
        <w:trPr>
          <w:cantSplit w:val="true"/>
        </w:trPr>
        <w:tc>
          <w:tcPr>
            <w:tcW w:w="263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740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spacing w:lineRule="exact" w:line="180"/>
        <w:ind w:left="-90" w:right="7401" w:hanging="0"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false"/>
        </w:trPr>
        <w:tc>
          <w:tcPr>
            <w:tcW w:w="1017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09"/>
        <w:gridCol w:w="237"/>
      </w:tblGrid>
      <w:tr>
        <w:trPr>
          <w:cantSplit w:val="true"/>
        </w:trPr>
        <w:tc>
          <w:tcPr>
            <w:tcW w:w="99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звание, 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2268"/>
        <w:gridCol w:w="276"/>
      </w:tblGrid>
      <w:tr>
        <w:trPr>
          <w:cantSplit w:val="false"/>
        </w:trPr>
        <w:tc>
          <w:tcPr>
            <w:tcW w:w="46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(излагаются обстоятельства, установленные в ходе дознания,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с указанием даты возбуждения уголовного дела, даты истечения срока дознания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(предыдущих сроков продления дознания,  обоснование невозможности закончить дознание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в установленный срок, какие следственные действия планируется выполнить)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 основании изложенного и руководствуясь ст. 223 УПК РФ,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8"/>
        <w:gridCol w:w="5473"/>
      </w:tblGrid>
      <w:tr>
        <w:trPr>
          <w:cantSplit w:val="true"/>
        </w:trPr>
        <w:tc>
          <w:tcPr>
            <w:tcW w:w="4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Ходатайствовать перед прокурором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41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</w:t>
      </w:r>
      <w:r>
        <w:rPr>
          <w:rFonts w:cs="Times New Roman" w:ascii="Times New Roman" w:hAnsi="Times New Roman"/>
          <w:sz w:val="18"/>
        </w:rPr>
        <w:t>(наименование органа прокуратуры)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rPr>
          <w:cantSplit w:val="true"/>
        </w:trPr>
        <w:tc>
          <w:tcPr>
            <w:tcW w:w="1003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410" w:right="-69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4253"/>
      </w:tblGrid>
      <w:tr>
        <w:trPr>
          <w:cantSplit w:val="true"/>
        </w:trPr>
        <w:tc>
          <w:tcPr>
            <w:tcW w:w="57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 продлении срока дознания  по уголовному делу 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77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74"/>
        <w:gridCol w:w="5529"/>
      </w:tblGrid>
      <w:tr>
        <w:trPr>
          <w:cantSplit w:val="false"/>
        </w:trPr>
        <w:tc>
          <w:tcPr>
            <w:tcW w:w="4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176" w:right="0" w:hanging="176"/>
              <w:rPr>
                <w:rStyle w:val="FootnoteCharacters"/>
                <w:rStyle w:val="FootnoteAnchor"/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суток, до «___» _______________ 20___г.</w:t>
            </w:r>
            <w:r>
              <w:rPr>
                <w:rStyle w:val="FootnoteCharacters"/>
                <w:rStyle w:val="FootnoteAnchor"/>
                <w:rFonts w:cs="Times New Roman" w:ascii="Times New Roman" w:hAnsi="Times New Roman"/>
              </w:rPr>
              <w:footnoteReference w:id="4"/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889"/>
        <w:gridCol w:w="1176"/>
        <w:gridCol w:w="1418"/>
        <w:gridCol w:w="1984"/>
        <w:gridCol w:w="1276"/>
        <w:gridCol w:w="1133"/>
        <w:gridCol w:w="993"/>
        <w:gridCol w:w="850"/>
      </w:tblGrid>
      <w:tr>
        <w:trPr>
          <w:cantSplit w:val="true"/>
        </w:trPr>
        <w:tc>
          <w:tcPr>
            <w:tcW w:w="4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на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месяц__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суток, а всего до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месяц__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суток,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966"/>
        <w:gridCol w:w="567"/>
        <w:gridCol w:w="567"/>
        <w:gridCol w:w="2268"/>
        <w:gridCol w:w="567"/>
        <w:gridCol w:w="567"/>
        <w:gridCol w:w="4649"/>
      </w:tblGrid>
      <w:tr>
        <w:trPr>
          <w:cantSplit w:val="true"/>
        </w:trPr>
        <w:tc>
          <w:tcPr>
            <w:tcW w:w="9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т.е. до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-57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Style w:val="FootnoteCharacters"/>
                <w:rStyle w:val="FootnoteAnchor"/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  <w:r>
              <w:rPr>
                <w:rStyle w:val="FootnoteCharacters"/>
                <w:rStyle w:val="FootnoteAnchor"/>
                <w:rFonts w:cs="Times New Roman" w:ascii="Times New Roman" w:hAnsi="Times New Roman"/>
              </w:rPr>
              <w:footnoteReference w:id="5"/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color w:val="000000"/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              </w:t>
      </w:r>
      <w:r>
        <w:rPr>
          <w:color w:val="000000"/>
          <w:sz w:val="18"/>
          <w:szCs w:val="18"/>
        </w:rPr>
        <w:t>(подпись)</w:t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lineRule="auto" w:line="36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</w:t>
      </w:r>
      <w:r>
        <w:rPr>
          <w:rFonts w:cs="Times New Roman" w:ascii="Times New Roman" w:hAnsi="Times New Roman"/>
          <w:sz w:val="24"/>
        </w:rPr>
        <w:t xml:space="preserve">На основании части первой ст. 223 (части восьмой ст. 162) УПК РФ уведомил о продлении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4"/>
        <w:gridCol w:w="4867"/>
      </w:tblGrid>
      <w:tr>
        <w:trPr>
          <w:cantSplit w:val="true"/>
        </w:trPr>
        <w:tc>
          <w:tcPr>
            <w:tcW w:w="51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срока дознания подозреваемого (обвиняемого) 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-533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5041" w:right="0" w:firstLine="720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5"/>
        <w:gridCol w:w="6892"/>
        <w:gridCol w:w="284"/>
      </w:tblGrid>
      <w:tr>
        <w:trPr>
          <w:cantSplit w:val="true"/>
        </w:trPr>
        <w:tc>
          <w:tcPr>
            <w:tcW w:w="28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и его защитника 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ind w:left="5041" w:right="0" w:firstLine="720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6946"/>
      </w:tblGrid>
      <w:tr>
        <w:trPr>
          <w:cantSplit w:val="true"/>
        </w:trPr>
        <w:tc>
          <w:tcPr>
            <w:tcW w:w="30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а также потерпевшего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-533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5041" w:right="0" w:firstLine="720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5"/>
        <w:gridCol w:w="7176"/>
      </w:tblGrid>
      <w:tr>
        <w:trPr>
          <w:cantSplit w:val="true"/>
        </w:trPr>
        <w:tc>
          <w:tcPr>
            <w:tcW w:w="28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и его представителя 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5041" w:right="0" w:firstLine="720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(фамилия, инициалы)</w:t>
      </w:r>
    </w:p>
    <w:p>
      <w:pPr>
        <w:pStyle w:val="ConsNonformat1"/>
        <w:widowControl/>
        <w:spacing w:lineRule="auto" w:line="36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и разъяснил порядок обжалования настоящего постановления.</w:t>
      </w:r>
    </w:p>
    <w:p>
      <w:pPr>
        <w:pStyle w:val="ConsNonformat1"/>
        <w:widowControl/>
        <w:spacing w:lineRule="auto" w:line="36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color w:val="000000"/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           </w:t>
      </w:r>
      <w:r>
        <w:rPr>
          <w:color w:val="000000"/>
          <w:sz w:val="18"/>
          <w:szCs w:val="18"/>
        </w:rPr>
        <w:t>(подпись)</w:t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418" w:right="567" w:header="567" w:top="1134" w:footer="72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>
          <w:color w:val="000000"/>
        </w:rPr>
      </w:pPr>
      <w:r>
        <w:rPr>
          <w:color w:val="000000"/>
        </w:rPr>
        <w:footnoteRef/>
        <w:tab/>
        <w:t xml:space="preserve"> </w:t>
      </w:r>
      <w:r>
        <w:rPr>
          <w:color w:val="000000"/>
        </w:rPr>
        <w:t>Данная графа заполняется в случаях, предусмотренных частью третьей ст. 223 УПК РФ.</w:t>
      </w:r>
    </w:p>
  </w:footnote>
  <w:footnote w:id="3">
    <w:p>
      <w:pPr>
        <w:pStyle w:val="Footnote"/>
        <w:rPr>
          <w:color w:val="000000"/>
        </w:rPr>
      </w:pPr>
      <w:r>
        <w:rPr>
          <w:color w:val="000000"/>
        </w:rPr>
        <w:footnoteRef/>
        <w:tab/>
        <w:t xml:space="preserve"> </w:t>
      </w:r>
      <w:r>
        <w:rPr>
          <w:color w:val="000000"/>
        </w:rPr>
        <w:t>Данная графа заполняется в случаях, предусмотренных частями четвертой и пятой ст. 223 УПК РФ.</w:t>
      </w:r>
    </w:p>
    <w:p>
      <w:pPr>
        <w:pStyle w:val="Footnote"/>
        <w:rPr>
          <w:color w:val="000000"/>
        </w:rPr>
      </w:pPr>
      <w:r>
        <w:rPr>
          <w:color w:val="000000"/>
        </w:rPr>
      </w:r>
    </w:p>
  </w:footnote>
  <w:footnote w:id="4">
    <w:p>
      <w:pPr>
        <w:pStyle w:val="Footnote"/>
        <w:rPr>
          <w:color w:val="000000"/>
        </w:rPr>
      </w:pPr>
      <w:r>
        <w:rPr>
          <w:color w:val="000000"/>
        </w:rPr>
        <w:footnoteRef/>
        <w:tab/>
        <w:t xml:space="preserve"> </w:t>
      </w:r>
      <w:r>
        <w:rPr>
          <w:color w:val="000000"/>
        </w:rPr>
        <w:t>Данная графа заполняется в случаях, предусмотренных частью третьей ст. 223 УПК РФ.</w:t>
      </w:r>
    </w:p>
  </w:footnote>
  <w:footnote w:id="5">
    <w:p>
      <w:pPr>
        <w:pStyle w:val="Footnote"/>
        <w:rPr>
          <w:color w:val="000000"/>
        </w:rPr>
      </w:pPr>
      <w:r>
        <w:rPr>
          <w:color w:val="000000"/>
        </w:rPr>
        <w:footnoteRef/>
        <w:tab/>
        <w:t xml:space="preserve"> </w:t>
      </w:r>
      <w:r>
        <w:rPr>
          <w:color w:val="000000"/>
        </w:rPr>
        <w:t>Данная графа заполняется в случаях, предусмотренных частями четвертой и пятой ст. 223 УПК РФ.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sz w:val="28"/>
        <w:szCs w:val="28"/>
      </w:rPr>
      <w:tab/>
      <w:tab/>
    </w:r>
    <w:r>
      <w:rPr>
        <w:color w:val="000000"/>
        <w:sz w:val="28"/>
        <w:szCs w:val="28"/>
      </w:rPr>
      <w:t>л.д.____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sz w:val="28"/>
        <w:szCs w:val="28"/>
      </w:rPr>
      <w:tab/>
      <w:tab/>
    </w:r>
    <w:r>
      <w:rPr>
        <w:color w:val="000000"/>
        <w:sz w:val="28"/>
        <w:szCs w:val="28"/>
      </w:rPr>
      <w:t>л.д.____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false"/>
      <w:bidi w:val="0"/>
      <w:jc w:val="both"/>
    </w:pPr>
    <w:rPr>
      <w:rFonts w:ascii="Times New Roman" w:hAnsi="Times New Roman" w:eastAsia="Times New Roman" w:cs="Times New Roman"/>
      <w:color w:val="000080"/>
      <w:sz w:val="26"/>
      <w:szCs w:val="20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120" w:after="240"/>
      <w:ind w:left="0" w:right="0" w:hanging="0"/>
      <w:jc w:val="center"/>
      <w:outlineLvl w:val="0"/>
      <w:outlineLvl w:val="0"/>
    </w:pPr>
    <w:rPr>
      <w:rFonts w:ascii="Arial" w:hAnsi="Arial" w:cs="Arial"/>
      <w:b/>
      <w:caps/>
      <w:spacing w:val="120"/>
      <w:sz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120" w:after="240"/>
      <w:ind w:left="0" w:right="0" w:hanging="0"/>
      <w:jc w:val="center"/>
      <w:outlineLvl w:val="1"/>
      <w:outlineLvl w:val="1"/>
    </w:pPr>
    <w:rPr>
      <w:rFonts w:ascii="Arial" w:hAnsi="Arial" w:cs="Arial"/>
      <w:b/>
      <w:i/>
      <w:caps/>
      <w:spacing w:val="80"/>
      <w:sz w:val="28"/>
      <w:u w:val="single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120" w:after="240"/>
      <w:ind w:left="0" w:right="0" w:hanging="0"/>
      <w:jc w:val="center"/>
      <w:outlineLvl w:val="2"/>
      <w:outlineLvl w:val="2"/>
    </w:pPr>
    <w:rPr>
      <w:rFonts w:ascii="Courier New" w:hAnsi="Courier New" w:cs="Courier New"/>
      <w:caps/>
      <w:spacing w:val="40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120" w:after="240"/>
      <w:ind w:left="0" w:right="0" w:hanging="0"/>
      <w:jc w:val="left"/>
      <w:outlineLvl w:val="3"/>
      <w:outlineLvl w:val="3"/>
    </w:pPr>
    <w:rPr>
      <w:rFonts w:ascii="Arial" w:hAnsi="Arial" w:cs="Arial"/>
      <w:b/>
      <w:i/>
      <w:sz w:val="24"/>
      <w:u w:val="single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Style10">
    <w:name w:val="Основной шрифт абзаца"/>
    <w:rPr/>
  </w:style>
  <w:style w:type="character" w:styleId="PageNumber">
    <w:name w:val="Page Number"/>
    <w:basedOn w:val="Style10"/>
    <w:rPr/>
  </w:style>
  <w:style w:type="character" w:styleId="FootnoteCharacters">
    <w:name w:val="Footnote Characters"/>
    <w:rPr>
      <w:vertAlign w:val="superscript"/>
    </w:rPr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1">
    <w:name w:val="Схема документа"/>
    <w:basedOn w:val="Normal"/>
    <w:pPr>
      <w:widowControl/>
      <w:shd w:fill="00FFFF" w:val="clear"/>
      <w:jc w:val="left"/>
    </w:pPr>
    <w:rPr>
      <w:rFonts w:ascii="Courier New" w:hAnsi="Courier New" w:cs="Courier New"/>
      <w:color w:val="000000"/>
      <w:sz w:val="16"/>
    </w:rPr>
  </w:style>
  <w:style w:type="paragraph" w:styleId="ConsTitle">
    <w:name w:val="ConsTitle"/>
    <w:pPr>
      <w:widowControl w:val="false"/>
      <w:suppressAutoHyphens w:val="true"/>
      <w:autoSpaceDE w:val="false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2">
    <w:name w:val="Текст"/>
    <w:basedOn w:val="Normal"/>
    <w:pPr/>
    <w:rPr>
      <w:rFonts w:ascii="Courier New" w:hAnsi="Courier New" w:cs="Courier New"/>
      <w:sz w:val="20"/>
    </w:rPr>
  </w:style>
  <w:style w:type="paragraph" w:styleId="Footnote">
    <w:name w:val="Footnote"/>
    <w:basedOn w:val="Normal"/>
    <w:pPr/>
    <w:rPr>
      <w:sz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2007-08-11T09:18:00Z</dcterms:created>
  <dc:creator>ВВС</dc:creator>
  <dc:language>en-US</dc:language>
  <cp:lastModifiedBy>Сергей</cp:lastModifiedBy>
  <cp:lastPrinted>2002-02-20T18:11:00Z</cp:lastPrinted>
  <dcterms:modified xsi:type="dcterms:W3CDTF">2014-05-15T18:37:00Z</dcterms:modified>
  <cp:revision>23</cp:revision>
  <dc:title>Бланк 154</dc:title>
</cp:coreProperties>
</file>